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CIRCULAR Núm. 129/CJCAM/SEJEC/20-2021</w:t>
      </w:r>
    </w:p>
    <w:p w:rsidR="00000000" w:rsidDel="00000000" w:rsidP="00000000" w:rsidRDefault="00000000" w:rsidRPr="00000000" w14:paraId="00000002">
      <w:pPr>
        <w:jc w:val="cente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3">
      <w:pPr>
        <w:tabs>
          <w:tab w:val="left" w:pos="851"/>
          <w:tab w:val="left" w:pos="7938"/>
        </w:tabs>
        <w:ind w:left="5387" w:right="-283"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Asunto: </w:t>
      </w:r>
      <w:r w:rsidDel="00000000" w:rsidR="00000000" w:rsidRPr="00000000">
        <w:rPr>
          <w:rFonts w:ascii="Tahoma" w:cs="Tahoma" w:eastAsia="Tahoma" w:hAnsi="Tahoma"/>
          <w:sz w:val="20"/>
          <w:szCs w:val="20"/>
          <w:rtl w:val="0"/>
        </w:rPr>
        <w:t xml:space="preserve">Se comunica punto de acuerdo.</w:t>
      </w:r>
      <w:r w:rsidDel="00000000" w:rsidR="00000000" w:rsidRPr="00000000">
        <w:rPr>
          <w:rtl w:val="0"/>
        </w:rPr>
      </w:r>
    </w:p>
    <w:p w:rsidR="00000000" w:rsidDel="00000000" w:rsidP="00000000" w:rsidRDefault="00000000" w:rsidRPr="00000000" w14:paraId="00000004">
      <w:pPr>
        <w:widowControl w:val="0"/>
        <w:tabs>
          <w:tab w:val="left" w:pos="426"/>
          <w:tab w:val="left" w:pos="540"/>
          <w:tab w:val="left" w:pos="567"/>
          <w:tab w:val="left" w:pos="7655"/>
        </w:tabs>
        <w:ind w:right="-376"/>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5">
      <w:pPr>
        <w:widowControl w:val="0"/>
        <w:tabs>
          <w:tab w:val="left" w:pos="426"/>
          <w:tab w:val="left" w:pos="540"/>
          <w:tab w:val="left" w:pos="567"/>
          <w:tab w:val="left" w:pos="7655"/>
        </w:tabs>
        <w:ind w:right="-376"/>
        <w:jc w:val="both"/>
        <w:rPr>
          <w:rFonts w:ascii="Tahoma" w:cs="Tahoma" w:eastAsia="Tahoma" w:hAnsi="Tahoma"/>
          <w:b w:val="1"/>
        </w:rPr>
      </w:pPr>
      <w:r w:rsidDel="00000000" w:rsidR="00000000" w:rsidRPr="00000000">
        <w:rPr>
          <w:rFonts w:ascii="Tahoma" w:cs="Tahoma" w:eastAsia="Tahoma" w:hAnsi="Tahoma"/>
          <w:b w:val="1"/>
          <w:rtl w:val="0"/>
        </w:rPr>
        <w:t xml:space="preserve">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000000" w:rsidDel="00000000" w:rsidP="00000000" w:rsidRDefault="00000000" w:rsidRPr="00000000" w14:paraId="00000006">
      <w:pPr>
        <w:ind w:right="-376"/>
        <w:jc w:val="both"/>
        <w:rPr>
          <w:rFonts w:ascii="Tahoma" w:cs="Tahoma" w:eastAsia="Tahoma" w:hAnsi="Tahoma"/>
        </w:rPr>
      </w:pPr>
      <w:r w:rsidDel="00000000" w:rsidR="00000000" w:rsidRPr="00000000">
        <w:rPr>
          <w:rtl w:val="0"/>
        </w:rPr>
      </w:r>
    </w:p>
    <w:p w:rsidR="00000000" w:rsidDel="00000000" w:rsidP="00000000" w:rsidRDefault="00000000" w:rsidRPr="00000000" w14:paraId="00000007">
      <w:pPr>
        <w:ind w:right="-376"/>
        <w:jc w:val="both"/>
        <w:rPr>
          <w:rFonts w:ascii="Tahoma" w:cs="Tahoma" w:eastAsia="Tahoma" w:hAnsi="Tahoma"/>
        </w:rPr>
      </w:pPr>
      <w:r w:rsidDel="00000000" w:rsidR="00000000" w:rsidRPr="00000000">
        <w:rPr>
          <w:rFonts w:ascii="Tahoma" w:cs="Tahoma" w:eastAsia="Tahoma" w:hAnsi="Tahoma"/>
          <w:rtl w:val="0"/>
        </w:rPr>
        <w:t xml:space="preserve">De conformidad con lo que establece el artículo 156, fracciones IX y XV de la Ley Orgánica del Poder Judicial del Estado, me permito hacer de su conocimiento que en Sesiones Ordinarias verificadas los días uno de julio y treinta de junio de dos mil veintiuno, los Plenos del Honorable Tribunal Superior de Justicia del Estado y del Consejo de la Judicatura Local, respectivamente, aprobaron el siguiente: - - - - - - - - - </w:t>
      </w:r>
    </w:p>
    <w:p w:rsidR="00000000" w:rsidDel="00000000" w:rsidP="00000000" w:rsidRDefault="00000000" w:rsidRPr="00000000" w14:paraId="00000008">
      <w:pPr>
        <w:widowControl w:val="0"/>
        <w:tabs>
          <w:tab w:val="left" w:pos="426"/>
          <w:tab w:val="left" w:pos="709"/>
          <w:tab w:val="left" w:pos="1276"/>
          <w:tab w:val="left" w:pos="7655"/>
        </w:tabs>
        <w:ind w:left="142" w:right="-283" w:firstLine="0"/>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09">
      <w:pPr>
        <w:ind w:left="284" w:right="-376" w:firstLine="0"/>
        <w:jc w:val="both"/>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“…ACUERDO GENERAL CONJUNTO NÚMERO 11/PTSJ-CJCAM/20-2021, DE LOS PLENOS DEL HONORABLE TRIBUNAL SUPERIOR DE JUSTICIA DEL ESTADO Y DEL CONSEJO DE LA JUDICATURA LOCAL, QUE EXHORTA A LAS Y LOS SERVIDORES JURISDICCIONALES Y ADMINISTRATIVOS DEL PODER JUDICIAL DEL ESTADO DE CAMPECHE CUMPLIR CON MEDIDAS DE CONTENCIÓN. - - - - - - - - - - - - - - - - - - - - </w:t>
      </w:r>
    </w:p>
    <w:p w:rsidR="00000000" w:rsidDel="00000000" w:rsidP="00000000" w:rsidRDefault="00000000" w:rsidRPr="00000000" w14:paraId="0000000A">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0B">
      <w:pPr>
        <w:ind w:left="284" w:right="-376" w:firstLine="0"/>
        <w:jc w:val="center"/>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CONSIDERANDOS:</w:t>
      </w:r>
    </w:p>
    <w:p w:rsidR="00000000" w:rsidDel="00000000" w:rsidP="00000000" w:rsidRDefault="00000000" w:rsidRPr="00000000" w14:paraId="0000000C">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0D">
      <w:pPr>
        <w:ind w:left="284" w:right="-376" w:firstLine="0"/>
        <w:jc w:val="both"/>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PRIMERO.</w:t>
      </w:r>
      <w:r w:rsidDel="00000000" w:rsidR="00000000" w:rsidRPr="00000000">
        <w:rPr>
          <w:rFonts w:ascii="Tahoma" w:cs="Tahoma" w:eastAsia="Tahoma" w:hAnsi="Tahoma"/>
          <w:sz w:val="21"/>
          <w:szCs w:val="21"/>
          <w:rtl w:val="0"/>
        </w:rPr>
        <w:t xml:space="preserve"> Que en el Comunicado Oficial de la Secretaría de Salud del Estado de Campeche, de fecha 28 de junio de 2021, se informó que en las últimas semanas la pandemia derivada del virus Covid-19 o SARS-CoV-2,  ha presentado una tendencia acelerada de casos de contagio, que en parte se debe a una intensa movilidad social, situación de alto riesgo para la ciudadanía que causó el cambio del semáforo color amarillo al color naranja, y se tomaran acciones para reducir la movilidad social y la actividad económica. Para lograr lo anterior, se reactivaron principalmente las siguientes medidas de contención: - - - - - - - - - - - - - - - - - - - - - - - - - - - - </w:t>
      </w:r>
    </w:p>
    <w:p w:rsidR="00000000" w:rsidDel="00000000" w:rsidP="00000000" w:rsidRDefault="00000000" w:rsidRPr="00000000" w14:paraId="0000000E">
      <w:pPr>
        <w:ind w:left="284" w:right="-376" w:firstLine="0"/>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376" w:hanging="360"/>
        <w:jc w:val="both"/>
        <w:rPr>
          <w:rFonts w:ascii="Tahoma" w:cs="Tahoma" w:eastAsia="Tahoma" w:hAnsi="Tahoma"/>
          <w:i w:val="0"/>
          <w:smallCaps w:val="0"/>
          <w:strike w:val="0"/>
          <w:color w:val="000000"/>
          <w:sz w:val="21"/>
          <w:szCs w:val="21"/>
          <w:u w:val="none"/>
          <w:shd w:fill="auto" w:val="clear"/>
          <w:vertAlign w:val="baseline"/>
        </w:r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La restricción social, que supone la suspensión de actividades no esenciales como las escolares, culturales, recreativas y deportivas. Se limitó la capacidad permitida de personas en transportes públicos, supermercados, entre otros. - - - - - - - - - - - - - - - - - - - - - - - - -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44" w:right="-376" w:hanging="360"/>
        <w:jc w:val="both"/>
        <w:rPr>
          <w:rFonts w:ascii="Tahoma" w:cs="Tahoma" w:eastAsia="Tahoma" w:hAnsi="Tahoma"/>
          <w:i w:val="0"/>
          <w:smallCaps w:val="0"/>
          <w:strike w:val="0"/>
          <w:color w:val="000000"/>
          <w:sz w:val="21"/>
          <w:szCs w:val="21"/>
          <w:u w:val="none"/>
          <w:shd w:fill="auto" w:val="clear"/>
          <w:vertAlign w:val="baseline"/>
        </w:rPr>
        <w:sectPr>
          <w:headerReference r:id="rId8" w:type="default"/>
          <w:footerReference r:id="rId9" w:type="default"/>
          <w:pgSz w:h="20160" w:w="12240" w:orient="portrait"/>
          <w:pgMar w:bottom="1985" w:top="2729" w:left="1701" w:right="1701" w:header="0" w:footer="1552"/>
          <w:pgNumType w:start="1"/>
        </w:sectPr>
      </w:pP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Y se intensificaron las medidas universales de higiene como: lavado de manos, aplicación  del gel antibacterial, cuidar la sana distancia, el estornudo de etiqueta, y sobre todo el uso obligatorio y correcto del cubrebocas</w:t>
      </w:r>
      <w:r w:rsidDel="00000000" w:rsidR="00000000" w:rsidRPr="00000000">
        <w:rPr>
          <w:rFonts w:ascii="Tahoma" w:cs="Tahoma" w:eastAsia="Tahoma" w:hAnsi="Tahoma"/>
          <w:b w:val="0"/>
          <w:i w:val="0"/>
          <w:smallCaps w:val="0"/>
          <w:strike w:val="0"/>
          <w:color w:val="000000"/>
          <w:sz w:val="21"/>
          <w:szCs w:val="21"/>
          <w:u w:val="none"/>
          <w:shd w:fill="auto" w:val="clear"/>
          <w:vertAlign w:val="superscript"/>
        </w:rPr>
        <w:footnoteReference w:customMarkFollows="0" w:id="0"/>
      </w:r>
      <w:r w:rsidDel="00000000" w:rsidR="00000000" w:rsidRPr="00000000">
        <w:rPr>
          <w:rFonts w:ascii="Tahoma" w:cs="Tahoma" w:eastAsia="Tahoma" w:hAnsi="Tahoma"/>
          <w:b w:val="0"/>
          <w:i w:val="0"/>
          <w:smallCaps w:val="0"/>
          <w:strike w:val="0"/>
          <w:color w:val="000000"/>
          <w:sz w:val="21"/>
          <w:szCs w:val="21"/>
          <w:u w:val="none"/>
          <w:shd w:fill="auto" w:val="clear"/>
          <w:vertAlign w:val="baseline"/>
          <w:rtl w:val="0"/>
        </w:rPr>
        <w:t xml:space="preserve">. - - - - - - -  - - - - - - - - - - - - - - - - - - - - - - - - - - -  </w:t>
      </w:r>
    </w:p>
    <w:p w:rsidR="00000000" w:rsidDel="00000000" w:rsidP="00000000" w:rsidRDefault="00000000" w:rsidRPr="00000000" w14:paraId="00000011">
      <w:pPr>
        <w:ind w:left="284" w:right="-376" w:firstLine="0"/>
        <w:jc w:val="both"/>
        <w:rPr>
          <w:rFonts w:ascii="Tahoma" w:cs="Tahoma" w:eastAsia="Tahoma" w:hAnsi="Tahoma"/>
          <w:sz w:val="21"/>
          <w:szCs w:val="21"/>
        </w:rPr>
        <w:sectPr>
          <w:type w:val="continuous"/>
          <w:pgSz w:h="20160" w:w="12240" w:orient="portrait"/>
          <w:pgMar w:bottom="1985" w:top="2729" w:left="1701" w:right="1701" w:header="0" w:footer="1552"/>
        </w:sectPr>
      </w:pPr>
      <w:r w:rsidDel="00000000" w:rsidR="00000000" w:rsidRPr="00000000">
        <w:rPr>
          <w:rFonts w:ascii="Tahoma" w:cs="Tahoma" w:eastAsia="Tahoma" w:hAnsi="Tahoma"/>
          <w:b w:val="1"/>
          <w:sz w:val="21"/>
          <w:szCs w:val="21"/>
          <w:rtl w:val="0"/>
        </w:rPr>
        <w:t xml:space="preserve">SEGUNDO. </w:t>
      </w:r>
      <w:r w:rsidDel="00000000" w:rsidR="00000000" w:rsidRPr="00000000">
        <w:rPr>
          <w:rFonts w:ascii="Tahoma" w:cs="Tahoma" w:eastAsia="Tahoma" w:hAnsi="Tahoma"/>
          <w:sz w:val="21"/>
          <w:szCs w:val="21"/>
          <w:rtl w:val="0"/>
        </w:rPr>
        <w:t xml:space="preserve">Que en el mes de junio, la variante Gamma, nombre que la Organización Mundial de la Salud (OMS) dio al linaje P.1, del cual una investigación publicada en Science demostró que tiene una transmisibilidad entre 1.7 y 2.4 veces mayor que la variante original del coronavirus, y en los últimos días se ha alertado al Caribe Mexicano en cuyas entidades ha crecido más la variante Gamma, situándose al Estado de Campeche en el tercer Estado con mayor propagación de dicho virus</w:t>
      </w:r>
      <w:r w:rsidDel="00000000" w:rsidR="00000000" w:rsidRPr="00000000">
        <w:rPr>
          <w:rFonts w:ascii="Tahoma" w:cs="Tahoma" w:eastAsia="Tahoma" w:hAnsi="Tahoma"/>
          <w:sz w:val="21"/>
          <w:szCs w:val="21"/>
          <w:vertAlign w:val="superscript"/>
        </w:rPr>
        <w:footnoteReference w:customMarkFollows="0" w:id="1"/>
      </w:r>
      <w:r w:rsidDel="00000000" w:rsidR="00000000" w:rsidRPr="00000000">
        <w:rPr>
          <w:rFonts w:ascii="Tahoma" w:cs="Tahoma" w:eastAsia="Tahoma" w:hAnsi="Tahoma"/>
          <w:sz w:val="21"/>
          <w:szCs w:val="21"/>
          <w:rtl w:val="0"/>
        </w:rPr>
        <w:t xml:space="preserve">. - - - - - - - - - - - - - - - - - - - - - - - - - - - - - - - - - - - - - - -  </w:t>
      </w:r>
    </w:p>
    <w:p w:rsidR="00000000" w:rsidDel="00000000" w:rsidP="00000000" w:rsidRDefault="00000000" w:rsidRPr="00000000" w14:paraId="00000012">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3">
      <w:pPr>
        <w:ind w:left="284" w:right="-376" w:firstLine="0"/>
        <w:jc w:val="both"/>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TERCERO. </w:t>
      </w:r>
      <w:r w:rsidDel="00000000" w:rsidR="00000000" w:rsidRPr="00000000">
        <w:rPr>
          <w:rFonts w:ascii="Tahoma" w:cs="Tahoma" w:eastAsia="Tahoma" w:hAnsi="Tahoma"/>
          <w:sz w:val="21"/>
          <w:szCs w:val="21"/>
          <w:rtl w:val="0"/>
        </w:rPr>
        <w:t xml:space="preserve">Que</w:t>
      </w:r>
      <w:r w:rsidDel="00000000" w:rsidR="00000000" w:rsidRPr="00000000">
        <w:rPr>
          <w:rFonts w:ascii="Tahoma" w:cs="Tahoma" w:eastAsia="Tahoma" w:hAnsi="Tahoma"/>
          <w:b w:val="1"/>
          <w:sz w:val="21"/>
          <w:szCs w:val="21"/>
          <w:rtl w:val="0"/>
        </w:rPr>
        <w:t xml:space="preserve"> </w:t>
      </w:r>
      <w:r w:rsidDel="00000000" w:rsidR="00000000" w:rsidRPr="00000000">
        <w:rPr>
          <w:rFonts w:ascii="Tahoma" w:cs="Tahoma" w:eastAsia="Tahoma" w:hAnsi="Tahoma"/>
          <w:sz w:val="21"/>
          <w:szCs w:val="21"/>
          <w:rtl w:val="0"/>
        </w:rPr>
        <w:t xml:space="preserve">en sesiones ordinarias, verificadas el diecisiete y diecinueve de noviembre del año dos mil veinte, los Plenos del Honorable Tribunal Superior de Justicia del Estado, y del Consejo de la Judicatura Local, respectivamente, aprobaron el </w:t>
      </w:r>
      <w:r w:rsidDel="00000000" w:rsidR="00000000" w:rsidRPr="00000000">
        <w:rPr>
          <w:rFonts w:ascii="Tahoma" w:cs="Tahoma" w:eastAsia="Tahoma" w:hAnsi="Tahoma"/>
          <w:b w:val="1"/>
          <w:sz w:val="21"/>
          <w:szCs w:val="21"/>
          <w:rtl w:val="0"/>
        </w:rPr>
        <w:t xml:space="preserve">ACUERDO GENERAL CONJUNTO NÚMERO 06/PTSJ-CJCAM/20-2021, DE LOS PLENOS DEL HONORABLE TRIBUNAL SUPERIOR DE JUSTICIA DEL ESTADO Y DEL CONSEJO DE LA JUDICATURA LOCAL, QUE APRUEBA EL CALENDARIO OFICIAL DEL PODER JUDICIAL DEL ESTADO PARA EL AÑO DOS MIL VEINTIUNO, Y FIJA EL PRIMER PERIODO VACACIONAL DEL AÑO DOS MIL VEINTIUNO PARA LAS Y LOS SERVIDORES JUDICIALES, </w:t>
      </w:r>
      <w:r w:rsidDel="00000000" w:rsidR="00000000" w:rsidRPr="00000000">
        <w:rPr>
          <w:rFonts w:ascii="Tahoma" w:cs="Tahoma" w:eastAsia="Tahoma" w:hAnsi="Tahoma"/>
          <w:sz w:val="21"/>
          <w:szCs w:val="21"/>
          <w:rtl w:val="0"/>
        </w:rPr>
        <w:t xml:space="preserve">que en su parte conducente dispone: se fija el PRIMER PERIODO VACACIONAL DOS MIL VEINTIUNO PARA LAS Y LOS SERVIDORES PÚBLICOS DEL PODER JUDICIAL DEL ESTADO, de la siguiente manera: Las y los servidores públicos del Poder Judicial, que tengan derecho a vacaciones, las disfrutarán del diecinueve de julio al dos de agosto de dos mil veintiuno, para reanudar sus labores el día tres del mismo mes y año, y quienes se queden de guardia disfrutarán de sus vacaciones del cuatro al dieciocho de agosto del año dos mil veintiuno, y reanudarán sus labores el diecinueve del mismo mes y año. - - - - - - - - - - - - - - - - - - - - - - - - - - - - - - - - - - - - - - - - - - - - - - - - - - - </w:t>
      </w:r>
    </w:p>
    <w:p w:rsidR="00000000" w:rsidDel="00000000" w:rsidP="00000000" w:rsidRDefault="00000000" w:rsidRPr="00000000" w14:paraId="00000014">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5">
      <w:pPr>
        <w:ind w:left="284" w:right="-376" w:firstLine="0"/>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Por lo que con fundamento en los referidos preceptos y en los artículos 77 y 78 bis de la Constitución Política del Estado; 8, 14, fracción II, 110, 111, párrafo segundo, 125, fracción II, de la Ley Orgánica del Poder Judicial del Estado, el Pleno del Honorable Tribunal Superior de Justicia del Estado y el Pleno del Consejo de la Judicatura Local, emiten conjuntamente, el siguiente: - - - - - - - - - - - - - - - - - - - - - - - - - - - - - - - - - - - - - - - - - - - - - - - - - - - - - - - - -</w:t>
      </w:r>
    </w:p>
    <w:p w:rsidR="00000000" w:rsidDel="00000000" w:rsidP="00000000" w:rsidRDefault="00000000" w:rsidRPr="00000000" w14:paraId="00000016">
      <w:pPr>
        <w:ind w:left="284" w:right="-376" w:firstLine="0"/>
        <w:jc w:val="both"/>
        <w:rPr>
          <w:rFonts w:ascii="Tahoma" w:cs="Tahoma" w:eastAsia="Tahoma" w:hAnsi="Tahoma"/>
          <w:sz w:val="21"/>
          <w:szCs w:val="21"/>
        </w:rPr>
      </w:pPr>
      <w:r w:rsidDel="00000000" w:rsidR="00000000" w:rsidRPr="00000000">
        <w:rPr>
          <w:rFonts w:ascii="Tahoma" w:cs="Tahoma" w:eastAsia="Tahoma" w:hAnsi="Tahoma"/>
          <w:sz w:val="21"/>
          <w:szCs w:val="21"/>
          <w:rtl w:val="0"/>
        </w:rPr>
        <w:t xml:space="preserve"> </w:t>
      </w:r>
      <w:r w:rsidDel="00000000" w:rsidR="00000000" w:rsidRPr="00000000">
        <w:rPr>
          <w:rFonts w:ascii="Tahoma" w:cs="Tahoma" w:eastAsia="Tahoma" w:hAnsi="Tahoma"/>
          <w:color w:val="ffffff"/>
          <w:sz w:val="21"/>
          <w:szCs w:val="21"/>
          <w:rtl w:val="0"/>
        </w:rPr>
        <w:t xml:space="preserve">-</w:t>
      </w:r>
      <w:r w:rsidDel="00000000" w:rsidR="00000000" w:rsidRPr="00000000">
        <w:rPr>
          <w:rtl w:val="0"/>
        </w:rPr>
      </w:r>
    </w:p>
    <w:p w:rsidR="00000000" w:rsidDel="00000000" w:rsidP="00000000" w:rsidRDefault="00000000" w:rsidRPr="00000000" w14:paraId="00000017">
      <w:pPr>
        <w:ind w:left="284" w:right="-376" w:firstLine="0"/>
        <w:jc w:val="both"/>
        <w:rPr>
          <w:rFonts w:ascii="Tahoma" w:cs="Tahoma" w:eastAsia="Tahoma" w:hAnsi="Tahoma"/>
          <w:b w:val="1"/>
          <w:sz w:val="21"/>
          <w:szCs w:val="21"/>
        </w:rPr>
      </w:pPr>
      <w:r w:rsidDel="00000000" w:rsidR="00000000" w:rsidRPr="00000000">
        <w:rPr>
          <w:rFonts w:ascii="Tahoma" w:cs="Tahoma" w:eastAsia="Tahoma" w:hAnsi="Tahoma"/>
          <w:b w:val="1"/>
          <w:sz w:val="21"/>
          <w:szCs w:val="21"/>
          <w:rtl w:val="0"/>
        </w:rPr>
        <w:t xml:space="preserve">ACUERDO GENERAL CONJUNTO NÚMERO 11/PTSJ-CJCAM/20-2021, DE LOS PLENOS DEL HONORABLE TRIBUNAL SUPERIOR DE JUSTICIA DEL ESTADO Y DEL CONSEJO DE LA JUDICATURA LOCAL, QUE EXHORTA A LAS Y LOS SERVIDORES JURISDICCIONALES Y ADMINISTRATIVOS DEL PODER JUDICIAL DEL ESTADO DE CAMPECHE CUMPLIR CON MEDIDAS DE CONTENCIÓN. - - - - - - - - - - - - - - - - - - - - </w:t>
      </w:r>
    </w:p>
    <w:p w:rsidR="00000000" w:rsidDel="00000000" w:rsidP="00000000" w:rsidRDefault="00000000" w:rsidRPr="00000000" w14:paraId="00000018">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9">
      <w:pPr>
        <w:ind w:left="284" w:right="-376" w:firstLine="0"/>
        <w:jc w:val="both"/>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A">
      <w:pPr>
        <w:ind w:left="284" w:right="-376" w:firstLine="0"/>
        <w:jc w:val="both"/>
        <w:rPr>
          <w:rFonts w:ascii="Tahoma" w:cs="Tahoma" w:eastAsia="Tahoma" w:hAnsi="Tahoma"/>
          <w:sz w:val="21"/>
          <w:szCs w:val="21"/>
          <w:highlight w:val="green"/>
        </w:rPr>
      </w:pPr>
      <w:r w:rsidDel="00000000" w:rsidR="00000000" w:rsidRPr="00000000">
        <w:rPr>
          <w:rFonts w:ascii="Tahoma" w:cs="Tahoma" w:eastAsia="Tahoma" w:hAnsi="Tahoma"/>
          <w:b w:val="1"/>
          <w:sz w:val="21"/>
          <w:szCs w:val="21"/>
          <w:rtl w:val="0"/>
        </w:rPr>
        <w:t xml:space="preserve">ÚNICO. </w:t>
      </w:r>
      <w:r w:rsidDel="00000000" w:rsidR="00000000" w:rsidRPr="00000000">
        <w:rPr>
          <w:rFonts w:ascii="Tahoma" w:cs="Tahoma" w:eastAsia="Tahoma" w:hAnsi="Tahoma"/>
          <w:sz w:val="21"/>
          <w:szCs w:val="21"/>
          <w:rtl w:val="0"/>
        </w:rPr>
        <w:t xml:space="preserve">Para contribuir y observar las medidas de contención recientemente decretadas por la Secretaría de Salud del Estado de Campeche, con motivo de la situación actual  de alto riesgo  que tiene la pandemia derivada del virus Covid-19 o SARS-CoV-2, y ante la proximidad del primer periodo vacacional correspondiente al año 2021, se exhorta a todo el personal jurisdiccional y administrativo del Poder Judicial del Estado de Campeche, para que a partir del cinco de julio de dos mil veintiuno, redoblen esfuerzos y cumplan responsablemente con el resguardo domiciliario,  para evitar la concentración física, tránsito o desplazamiento hacia el exterior de sus hogares, y con esto, reducir los riesgos de contagio de Covid-19 o SARS-CoV-2 y las diversas variantes catalogadas por la Organización Mundial de la Salud (OMS) como de preocupación  (VOC)</w:t>
      </w:r>
      <w:r w:rsidDel="00000000" w:rsidR="00000000" w:rsidRPr="00000000">
        <w:rPr>
          <w:rFonts w:ascii="Tahoma" w:cs="Tahoma" w:eastAsia="Tahoma" w:hAnsi="Tahoma"/>
          <w:sz w:val="21"/>
          <w:szCs w:val="21"/>
          <w:vertAlign w:val="superscript"/>
        </w:rPr>
        <w:footnoteReference w:customMarkFollows="0" w:id="2"/>
      </w:r>
      <w:r w:rsidDel="00000000" w:rsidR="00000000" w:rsidRPr="00000000">
        <w:rPr>
          <w:rFonts w:ascii="Tahoma" w:cs="Tahoma" w:eastAsia="Tahoma" w:hAnsi="Tahoma"/>
          <w:sz w:val="21"/>
          <w:szCs w:val="21"/>
          <w:rtl w:val="0"/>
        </w:rPr>
        <w:t xml:space="preserve">, por contactos directos no necesarios, contribuyendo de esta forma no sólo  a la salvaguarda de la salud y seguridad  personal, sino de la sociedad en general. - - - - - -  </w:t>
      </w:r>
      <w:r w:rsidDel="00000000" w:rsidR="00000000" w:rsidRPr="00000000">
        <w:rPr>
          <w:rtl w:val="0"/>
        </w:rPr>
      </w:r>
    </w:p>
    <w:p w:rsidR="00000000" w:rsidDel="00000000" w:rsidP="00000000" w:rsidRDefault="00000000" w:rsidRPr="00000000" w14:paraId="0000001B">
      <w:pPr>
        <w:ind w:left="284" w:right="-376" w:firstLine="0"/>
        <w:jc w:val="both"/>
        <w:rPr>
          <w:rFonts w:ascii="Tahoma" w:cs="Tahoma" w:eastAsia="Tahoma" w:hAnsi="Tahoma"/>
          <w:b w:val="1"/>
          <w:color w:val="ffffff"/>
          <w:sz w:val="21"/>
          <w:szCs w:val="21"/>
        </w:rPr>
      </w:pPr>
      <w:r w:rsidDel="00000000" w:rsidR="00000000" w:rsidRPr="00000000">
        <w:rPr>
          <w:rFonts w:ascii="Tahoma" w:cs="Tahoma" w:eastAsia="Tahoma" w:hAnsi="Tahoma"/>
          <w:b w:val="1"/>
          <w:color w:val="ffffff"/>
          <w:sz w:val="21"/>
          <w:szCs w:val="21"/>
          <w:rtl w:val="0"/>
        </w:rPr>
        <w:t xml:space="preserve">- - - - - - - - </w:t>
      </w:r>
    </w:p>
    <w:p w:rsidR="00000000" w:rsidDel="00000000" w:rsidP="00000000" w:rsidRDefault="00000000" w:rsidRPr="00000000" w14:paraId="0000001C">
      <w:pPr>
        <w:tabs>
          <w:tab w:val="left" w:pos="993"/>
          <w:tab w:val="left" w:pos="1134"/>
        </w:tabs>
        <w:ind w:right="-376"/>
        <w:jc w:val="center"/>
        <w:rPr>
          <w:rFonts w:ascii="Tahoma" w:cs="Tahoma" w:eastAsia="Tahoma" w:hAnsi="Tahoma"/>
          <w:b w:val="1"/>
          <w:sz w:val="21"/>
          <w:szCs w:val="21"/>
        </w:rPr>
      </w:pPr>
      <w:r w:rsidDel="00000000" w:rsidR="00000000" w:rsidRPr="00000000">
        <w:rPr>
          <w:rFonts w:ascii="Tahoma" w:cs="Tahoma" w:eastAsia="Tahoma" w:hAnsi="Tahoma"/>
          <w:b w:val="1"/>
          <w:color w:val="ffffff"/>
          <w:sz w:val="21"/>
          <w:szCs w:val="21"/>
          <w:rtl w:val="0"/>
        </w:rPr>
        <w:t xml:space="preserve">-- - - - -</w:t>
      </w:r>
      <w:r w:rsidDel="00000000" w:rsidR="00000000" w:rsidRPr="00000000">
        <w:rPr>
          <w:rFonts w:ascii="Tahoma" w:cs="Tahoma" w:eastAsia="Tahoma" w:hAnsi="Tahoma"/>
          <w:b w:val="1"/>
          <w:sz w:val="21"/>
          <w:szCs w:val="21"/>
          <w:rtl w:val="0"/>
        </w:rPr>
        <w:t xml:space="preserve">TRANSITORIOS</w:t>
      </w:r>
    </w:p>
    <w:p w:rsidR="00000000" w:rsidDel="00000000" w:rsidP="00000000" w:rsidRDefault="00000000" w:rsidRPr="00000000" w14:paraId="0000001D">
      <w:pPr>
        <w:ind w:left="284" w:right="-376" w:firstLine="0"/>
        <w:jc w:val="center"/>
        <w:rPr>
          <w:rFonts w:ascii="Tahoma" w:cs="Tahoma" w:eastAsia="Tahoma" w:hAnsi="Tahoma"/>
          <w:b w:val="1"/>
          <w:sz w:val="21"/>
          <w:szCs w:val="21"/>
        </w:rPr>
      </w:pPr>
      <w:r w:rsidDel="00000000" w:rsidR="00000000" w:rsidRPr="00000000">
        <w:rPr>
          <w:rtl w:val="0"/>
        </w:rPr>
      </w:r>
    </w:p>
    <w:p w:rsidR="00000000" w:rsidDel="00000000" w:rsidP="00000000" w:rsidRDefault="00000000" w:rsidRPr="00000000" w14:paraId="0000001E">
      <w:pPr>
        <w:tabs>
          <w:tab w:val="left" w:pos="8789"/>
        </w:tabs>
        <w:ind w:left="284" w:right="-376" w:firstLine="0"/>
        <w:jc w:val="both"/>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PRIMERO.</w:t>
      </w:r>
      <w:r w:rsidDel="00000000" w:rsidR="00000000" w:rsidRPr="00000000">
        <w:rPr>
          <w:rFonts w:ascii="Tahoma" w:cs="Tahoma" w:eastAsia="Tahoma" w:hAnsi="Tahoma"/>
          <w:sz w:val="21"/>
          <w:szCs w:val="21"/>
          <w:rtl w:val="0"/>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 - - - -</w:t>
      </w:r>
    </w:p>
    <w:p w:rsidR="00000000" w:rsidDel="00000000" w:rsidP="00000000" w:rsidRDefault="00000000" w:rsidRPr="00000000" w14:paraId="0000001F">
      <w:pPr>
        <w:tabs>
          <w:tab w:val="left" w:pos="8789"/>
        </w:tabs>
        <w:ind w:left="284" w:right="-376" w:firstLine="0"/>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20">
      <w:pPr>
        <w:ind w:left="284" w:right="-376" w:firstLine="0"/>
        <w:jc w:val="both"/>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SEGUNDO. </w:t>
      </w:r>
      <w:r w:rsidDel="00000000" w:rsidR="00000000" w:rsidRPr="00000000">
        <w:rPr>
          <w:rFonts w:ascii="Tahoma" w:cs="Tahoma" w:eastAsia="Tahoma" w:hAnsi="Tahoma"/>
          <w:sz w:val="21"/>
          <w:szCs w:val="21"/>
          <w:rtl w:val="0"/>
        </w:rPr>
        <w:t xml:space="preserve">El presente Acuerdo General Conjunto entrará en vigor de conformidad con el artículo 4 del Código Civil vigente en el Estado. - - - - - - - - - - - - - - - - - - - - - - - - - - - - - - - - </w:t>
      </w:r>
    </w:p>
    <w:p w:rsidR="00000000" w:rsidDel="00000000" w:rsidP="00000000" w:rsidRDefault="00000000" w:rsidRPr="00000000" w14:paraId="00000021">
      <w:pPr>
        <w:ind w:left="284" w:right="-376" w:firstLine="0"/>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22">
      <w:pPr>
        <w:spacing w:line="276" w:lineRule="auto"/>
        <w:ind w:left="284" w:right="-376" w:firstLine="0"/>
        <w:jc w:val="both"/>
        <w:rPr>
          <w:rFonts w:ascii="Tahoma" w:cs="Tahoma" w:eastAsia="Tahoma" w:hAnsi="Tahoma"/>
          <w:sz w:val="21"/>
          <w:szCs w:val="21"/>
        </w:rPr>
      </w:pPr>
      <w:r w:rsidDel="00000000" w:rsidR="00000000" w:rsidRPr="00000000">
        <w:rPr>
          <w:rFonts w:ascii="Tahoma" w:cs="Tahoma" w:eastAsia="Tahoma" w:hAnsi="Tahoma"/>
          <w:b w:val="1"/>
          <w:sz w:val="21"/>
          <w:szCs w:val="21"/>
          <w:rtl w:val="0"/>
        </w:rPr>
        <w:t xml:space="preserve">TERCERO. </w:t>
      </w:r>
      <w:r w:rsidDel="00000000" w:rsidR="00000000" w:rsidRPr="00000000">
        <w:rPr>
          <w:rFonts w:ascii="Tahoma" w:cs="Tahoma" w:eastAsia="Tahoma" w:hAnsi="Tahoma"/>
          <w:sz w:val="21"/>
          <w:szCs w:val="21"/>
          <w:rtl w:val="0"/>
        </w:rPr>
        <w:t xml:space="preserve">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 - - - - - - - - - - - - - - - - - - - - - - - - - - - - - - - - - - - - - - - - - - - - - - - - - - - - - - - - </w:t>
      </w:r>
    </w:p>
    <w:p w:rsidR="00000000" w:rsidDel="00000000" w:rsidP="00000000" w:rsidRDefault="00000000" w:rsidRPr="00000000" w14:paraId="00000023">
      <w:pPr>
        <w:widowControl w:val="0"/>
        <w:ind w:left="284" w:right="-425" w:firstLine="0"/>
        <w:jc w:val="both"/>
        <w:rPr>
          <w:rFonts w:ascii="Tahoma" w:cs="Tahoma" w:eastAsia="Tahoma" w:hAnsi="Tahoma"/>
          <w:color w:val="ffffff"/>
          <w:sz w:val="21"/>
          <w:szCs w:val="21"/>
        </w:rPr>
      </w:pPr>
      <w:r w:rsidDel="00000000" w:rsidR="00000000" w:rsidRPr="00000000">
        <w:rPr>
          <w:rtl w:val="0"/>
        </w:rPr>
      </w:r>
    </w:p>
    <w:p w:rsidR="00000000" w:rsidDel="00000000" w:rsidP="00000000" w:rsidRDefault="00000000" w:rsidRPr="00000000" w14:paraId="00000024">
      <w:pPr>
        <w:widowControl w:val="0"/>
        <w:tabs>
          <w:tab w:val="left" w:pos="426"/>
          <w:tab w:val="left" w:pos="709"/>
          <w:tab w:val="left" w:pos="1276"/>
          <w:tab w:val="left" w:pos="7655"/>
        </w:tabs>
        <w:ind w:left="142" w:right="-283" w:firstLine="0"/>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25">
      <w:pPr>
        <w:ind w:right="49"/>
        <w:jc w:val="both"/>
        <w:rPr>
          <w:rFonts w:ascii="Tahoma" w:cs="Tahoma" w:eastAsia="Tahoma" w:hAnsi="Tahoma"/>
        </w:rPr>
      </w:pPr>
      <w:r w:rsidDel="00000000" w:rsidR="00000000" w:rsidRPr="00000000">
        <w:rPr>
          <w:rFonts w:ascii="Tahoma" w:cs="Tahoma" w:eastAsia="Tahoma" w:hAnsi="Tahoma"/>
          <w:rtl w:val="0"/>
        </w:rPr>
        <w:t xml:space="preserve">Reitero a usted las seguridades de mi distinguida consideración</w:t>
      </w:r>
    </w:p>
    <w:p w:rsidR="00000000" w:rsidDel="00000000" w:rsidP="00000000" w:rsidRDefault="00000000" w:rsidRPr="00000000" w14:paraId="00000026">
      <w:pPr>
        <w:spacing w:line="360" w:lineRule="auto"/>
        <w:ind w:right="49"/>
        <w:jc w:val="both"/>
        <w:rPr>
          <w:rFonts w:ascii="Tahoma" w:cs="Tahoma" w:eastAsia="Tahoma" w:hAnsi="Tahoma"/>
          <w:sz w:val="21"/>
          <w:szCs w:val="21"/>
        </w:rPr>
      </w:pPr>
      <w:r w:rsidDel="00000000" w:rsidR="00000000" w:rsidRPr="00000000">
        <w:rPr>
          <w:rtl w:val="0"/>
        </w:rPr>
      </w:r>
    </w:p>
    <w:p w:rsidR="00000000" w:rsidDel="00000000" w:rsidP="00000000" w:rsidRDefault="00000000" w:rsidRPr="00000000" w14:paraId="00000027">
      <w:pPr>
        <w:tabs>
          <w:tab w:val="left" w:pos="851"/>
          <w:tab w:val="left" w:pos="1418"/>
          <w:tab w:val="left" w:pos="7655"/>
        </w:tabs>
        <w:ind w:right="49"/>
        <w:jc w:val="center"/>
        <w:rPr>
          <w:rFonts w:ascii="Tahoma" w:cs="Tahoma" w:eastAsia="Tahoma" w:hAnsi="Tahoma"/>
          <w:b w:val="1"/>
        </w:rPr>
      </w:pPr>
      <w:r w:rsidDel="00000000" w:rsidR="00000000" w:rsidRPr="00000000">
        <w:rPr>
          <w:rFonts w:ascii="Tahoma" w:cs="Tahoma" w:eastAsia="Tahoma" w:hAnsi="Tahoma"/>
          <w:b w:val="1"/>
          <w:rtl w:val="0"/>
        </w:rPr>
        <w:t xml:space="preserve">A T E N T A M E N T E</w:t>
      </w:r>
    </w:p>
    <w:p w:rsidR="00000000" w:rsidDel="00000000" w:rsidP="00000000" w:rsidRDefault="00000000" w:rsidRPr="00000000" w14:paraId="00000028">
      <w:pPr>
        <w:tabs>
          <w:tab w:val="left" w:pos="851"/>
          <w:tab w:val="left" w:pos="1418"/>
          <w:tab w:val="left" w:pos="7655"/>
          <w:tab w:val="left" w:pos="9639"/>
        </w:tabs>
        <w:ind w:right="49"/>
        <w:jc w:val="center"/>
        <w:rPr>
          <w:rFonts w:ascii="Tahoma" w:cs="Tahoma" w:eastAsia="Tahoma" w:hAnsi="Tahoma"/>
        </w:rPr>
      </w:pPr>
      <w:r w:rsidDel="00000000" w:rsidR="00000000" w:rsidRPr="00000000">
        <w:rPr>
          <w:rFonts w:ascii="Tahoma" w:cs="Tahoma" w:eastAsia="Tahoma" w:hAnsi="Tahoma"/>
          <w:rtl w:val="0"/>
        </w:rPr>
        <w:t xml:space="preserve">San Francisco de Campeche, Campeche, a 02 de julio de 2021</w:t>
      </w:r>
    </w:p>
    <w:p w:rsidR="00000000" w:rsidDel="00000000" w:rsidP="00000000" w:rsidRDefault="00000000" w:rsidRPr="00000000" w14:paraId="00000029">
      <w:pPr>
        <w:tabs>
          <w:tab w:val="left" w:pos="851"/>
          <w:tab w:val="left" w:pos="1418"/>
          <w:tab w:val="left" w:pos="7655"/>
          <w:tab w:val="left" w:pos="8931"/>
        </w:tabs>
        <w:ind w:right="49"/>
        <w:jc w:val="center"/>
        <w:rPr>
          <w:rFonts w:ascii="Tahoma" w:cs="Tahoma" w:eastAsia="Tahoma" w:hAnsi="Tahoma"/>
          <w:b w:val="1"/>
        </w:rPr>
      </w:pPr>
      <w:r w:rsidDel="00000000" w:rsidR="00000000" w:rsidRPr="00000000">
        <w:rPr>
          <w:rFonts w:ascii="Tahoma" w:cs="Tahoma" w:eastAsia="Tahoma" w:hAnsi="Tahoma"/>
          <w:b w:val="1"/>
          <w:rtl w:val="0"/>
        </w:rPr>
        <w:t xml:space="preserve">LA SECRETARIA EJECUTIVA DEL CONSEJO DE LA JUDICATURA </w:t>
      </w:r>
    </w:p>
    <w:p w:rsidR="00000000" w:rsidDel="00000000" w:rsidP="00000000" w:rsidRDefault="00000000" w:rsidRPr="00000000" w14:paraId="0000002A">
      <w:pPr>
        <w:tabs>
          <w:tab w:val="left" w:pos="851"/>
          <w:tab w:val="left" w:pos="1418"/>
          <w:tab w:val="left" w:pos="7655"/>
          <w:tab w:val="left" w:pos="8931"/>
        </w:tabs>
        <w:ind w:right="49"/>
        <w:jc w:val="center"/>
        <w:rPr>
          <w:rFonts w:ascii="Tahoma" w:cs="Tahoma" w:eastAsia="Tahoma" w:hAnsi="Tahoma"/>
          <w:b w:val="1"/>
        </w:rPr>
      </w:pPr>
      <w:r w:rsidDel="00000000" w:rsidR="00000000" w:rsidRPr="00000000">
        <w:rPr>
          <w:rFonts w:ascii="Tahoma" w:cs="Tahoma" w:eastAsia="Tahoma" w:hAnsi="Tahoma"/>
          <w:b w:val="1"/>
          <w:rtl w:val="0"/>
        </w:rPr>
        <w:t xml:space="preserve">DEL PODER JUDICIAL DEL ESTADO.</w:t>
      </w:r>
    </w:p>
    <w:p w:rsidR="00000000" w:rsidDel="00000000" w:rsidP="00000000" w:rsidRDefault="00000000" w:rsidRPr="00000000" w14:paraId="0000002B">
      <w:pPr>
        <w:tabs>
          <w:tab w:val="left" w:pos="851"/>
          <w:tab w:val="left" w:pos="1418"/>
          <w:tab w:val="left" w:pos="7655"/>
          <w:tab w:val="left" w:pos="8931"/>
        </w:tabs>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C">
      <w:pPr>
        <w:tabs>
          <w:tab w:val="left" w:pos="851"/>
          <w:tab w:val="left" w:pos="1418"/>
          <w:tab w:val="left" w:pos="7655"/>
          <w:tab w:val="left" w:pos="8931"/>
        </w:tabs>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D">
      <w:pPr>
        <w:tabs>
          <w:tab w:val="left" w:pos="851"/>
          <w:tab w:val="left" w:pos="1418"/>
          <w:tab w:val="left" w:pos="7655"/>
          <w:tab w:val="left" w:pos="8931"/>
        </w:tabs>
        <w:jc w:val="center"/>
        <w:rPr>
          <w:rFonts w:ascii="Tahoma" w:cs="Tahoma" w:eastAsia="Tahoma" w:hAnsi="Tahoma"/>
          <w:b w:val="1"/>
        </w:rPr>
      </w:pPr>
      <w:r w:rsidDel="00000000" w:rsidR="00000000" w:rsidRPr="00000000">
        <w:rPr>
          <w:rFonts w:ascii="Tahoma" w:cs="Tahoma" w:eastAsia="Tahoma" w:hAnsi="Tahoma"/>
          <w:b w:val="1"/>
          <w:rtl w:val="0"/>
        </w:rPr>
        <w:t xml:space="preserve">DOCTORA CONCEPCIÓN DEL CARMEN CANTO SANTOS</w:t>
      </w:r>
    </w:p>
    <w:p w:rsidR="00000000" w:rsidDel="00000000" w:rsidP="00000000" w:rsidRDefault="00000000" w:rsidRPr="00000000" w14:paraId="0000002E">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2F">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0">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1">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2">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3">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4">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5">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6">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7">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8">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9">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A">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B">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C">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D">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E">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3F">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0">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1">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2">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4">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5">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6">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7">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8">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9">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A">
      <w:pPr>
        <w:tabs>
          <w:tab w:val="left" w:pos="1290"/>
        </w:tabs>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C.c.p. Lic. Miguel Ángel Chuc López, Magistrado Presidente del Honorable Tribunal Superior de Justicia del Estado y del Consejo de la Judicatura Local. Para su conocimiento. </w:t>
      </w:r>
    </w:p>
    <w:p w:rsidR="00000000" w:rsidDel="00000000" w:rsidP="00000000" w:rsidRDefault="00000000" w:rsidRPr="00000000" w14:paraId="0000004B">
      <w:pPr>
        <w:tabs>
          <w:tab w:val="left" w:pos="1290"/>
        </w:tabs>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C.c.p. Maestra Jaqueline del Carmen Estrella Puc, Secretaria General de Acuerdos del Honorable Tribunal Superior de Justicia del Estado. Para igual fin.</w:t>
      </w:r>
    </w:p>
    <w:p w:rsidR="00000000" w:rsidDel="00000000" w:rsidP="00000000" w:rsidRDefault="00000000" w:rsidRPr="00000000" w14:paraId="0000004C">
      <w:pPr>
        <w:tabs>
          <w:tab w:val="left" w:pos="1290"/>
        </w:tabs>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C.c.p. Minutario.</w:t>
      </w:r>
    </w:p>
    <w:p w:rsidR="00000000" w:rsidDel="00000000" w:rsidP="00000000" w:rsidRDefault="00000000" w:rsidRPr="00000000" w14:paraId="0000004D">
      <w:pPr>
        <w:tabs>
          <w:tab w:val="left" w:pos="1290"/>
        </w:tabs>
        <w:jc w:val="both"/>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E">
      <w:pPr>
        <w:tabs>
          <w:tab w:val="left" w:pos="1290"/>
        </w:tabs>
        <w:jc w:val="both"/>
        <w:rPr>
          <w:rFonts w:ascii="Tahoma" w:cs="Tahoma" w:eastAsia="Tahoma" w:hAnsi="Tahoma"/>
        </w:rPr>
      </w:pPr>
      <w:bookmarkStart w:colFirst="0" w:colLast="0" w:name="_gjdgxs" w:id="0"/>
      <w:bookmarkEnd w:id="0"/>
      <w:r w:rsidDel="00000000" w:rsidR="00000000" w:rsidRPr="00000000">
        <w:rPr>
          <w:rtl w:val="0"/>
        </w:rPr>
      </w:r>
    </w:p>
    <w:sectPr>
      <w:headerReference r:id="rId10" w:type="default"/>
      <w:headerReference r:id="rId11" w:type="even"/>
      <w:footerReference r:id="rId12" w:type="default"/>
      <w:footerReference r:id="rId13" w:type="even"/>
      <w:type w:val="nextPage"/>
      <w:pgSz w:h="20160" w:w="12240" w:orient="portrait"/>
      <w:pgMar w:bottom="1985" w:top="2758" w:left="1701" w:right="1608" w:header="0" w:footer="11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ahom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284"/>
      </w:tabs>
      <w:spacing w:after="0" w:before="0" w:line="240" w:lineRule="auto"/>
      <w:ind w:left="284" w:right="-376" w:firstLine="0"/>
      <w:jc w:val="left"/>
      <w:rPr>
        <w:rFonts w:ascii="Calibri" w:cs="Calibri" w:eastAsia="Calibri" w:hAnsi="Calibri"/>
        <w:b w:val="1"/>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1"/>
        <w:i w:val="0"/>
        <w:smallCaps w:val="0"/>
        <w:strike w:val="0"/>
        <w:color w:val="58646b"/>
        <w:sz w:val="17"/>
        <w:szCs w:val="17"/>
        <w:u w:val="none"/>
        <w:shd w:fill="auto" w:val="clear"/>
        <w:vertAlign w:val="baseline"/>
        <w:rtl w:val="0"/>
      </w:rPr>
      <w:t xml:space="preserve">CASA DE JUSTICIA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284"/>
      </w:tabs>
      <w:spacing w:after="0" w:before="0" w:line="240" w:lineRule="auto"/>
      <w:ind w:left="284" w:right="-376"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AV. PATRICIO TRUEBA Y DE REGIL NO. 236,</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284"/>
      </w:tabs>
      <w:spacing w:after="0" w:before="0" w:line="240" w:lineRule="auto"/>
      <w:ind w:left="284" w:right="-376"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COLONIA SAN RAFAEL C.P. 24090                                                                                            Tel. (01 981)  81 30664, ext. 1016 y fax 1286.</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284"/>
      </w:tabs>
      <w:spacing w:after="0" w:before="0" w:line="240" w:lineRule="auto"/>
      <w:ind w:left="284" w:right="-376"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SAN FRANCISCO DE CAMPECHE, CAMPECHE.                                                                                     www.poderjudicialcampeche.gob.mx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376" w:firstLine="0"/>
      <w:jc w:val="left"/>
      <w:rPr>
        <w:rFonts w:ascii="Calibri" w:cs="Calibri" w:eastAsia="Calibri" w:hAnsi="Calibri"/>
        <w:b w:val="1"/>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1"/>
        <w:i w:val="0"/>
        <w:smallCaps w:val="0"/>
        <w:strike w:val="0"/>
        <w:color w:val="58646b"/>
        <w:sz w:val="17"/>
        <w:szCs w:val="17"/>
        <w:u w:val="none"/>
        <w:shd w:fill="auto" w:val="clear"/>
        <w:vertAlign w:val="baseline"/>
        <w:rtl w:val="0"/>
      </w:rPr>
      <w:t xml:space="preserve">CASA DE JUSTICIA</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AV. PATRICIO TRUEBA Y DE REGIL NO. 236,</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COLONIA SAN RAFAEL C.P. 24090                                                                                                    Tel. (01 981) 81 30664, ext. 1016 y fax 1286.</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SAN FRANCISCO DE CAMPECHE, CAMPECHE.                                                                                           www.poderjudicialcampeche.gob.mx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376" w:firstLine="0"/>
      <w:jc w:val="left"/>
      <w:rPr>
        <w:rFonts w:ascii="Calibri" w:cs="Calibri" w:eastAsia="Calibri" w:hAnsi="Calibri"/>
        <w:b w:val="1"/>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1"/>
        <w:i w:val="0"/>
        <w:smallCaps w:val="0"/>
        <w:strike w:val="0"/>
        <w:color w:val="58646b"/>
        <w:sz w:val="17"/>
        <w:szCs w:val="17"/>
        <w:u w:val="none"/>
        <w:shd w:fill="auto" w:val="clear"/>
        <w:vertAlign w:val="baseline"/>
        <w:rtl w:val="0"/>
      </w:rPr>
      <w:t xml:space="preserve">CASA DE JUSTICIA</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AV. PATRICIO TRUEBA Y DE REGIL NO. 236,</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COLONIA SAN RAFAEL C.P. 24090                                                                                                    Tel. (01 981) 81 30664, ext. 1016 y fax 1286.</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142"/>
      </w:tabs>
      <w:spacing w:after="0" w:before="0" w:line="240" w:lineRule="auto"/>
      <w:ind w:left="142" w:right="-518" w:firstLine="0"/>
      <w:jc w:val="left"/>
      <w:rPr>
        <w:rFonts w:ascii="Calibri" w:cs="Calibri" w:eastAsia="Calibri" w:hAnsi="Calibri"/>
        <w:b w:val="0"/>
        <w:i w:val="0"/>
        <w:smallCaps w:val="0"/>
        <w:strike w:val="0"/>
        <w:color w:val="58646b"/>
        <w:sz w:val="17"/>
        <w:szCs w:val="17"/>
        <w:u w:val="none"/>
        <w:shd w:fill="auto" w:val="clear"/>
        <w:vertAlign w:val="baseline"/>
      </w:rPr>
    </w:pPr>
    <w:r w:rsidDel="00000000" w:rsidR="00000000" w:rsidRPr="00000000">
      <w:rPr>
        <w:rFonts w:ascii="Calibri" w:cs="Calibri" w:eastAsia="Calibri" w:hAnsi="Calibri"/>
        <w:b w:val="0"/>
        <w:i w:val="0"/>
        <w:smallCaps w:val="0"/>
        <w:strike w:val="0"/>
        <w:color w:val="58646b"/>
        <w:sz w:val="17"/>
        <w:szCs w:val="17"/>
        <w:u w:val="none"/>
        <w:shd w:fill="auto" w:val="clear"/>
        <w:vertAlign w:val="baseline"/>
        <w:rtl w:val="0"/>
      </w:rPr>
      <w:t xml:space="preserve">SAN FRANCISCO DE CAMPECHE, CAMPECHE.                                                                                           www.poderjudicialcampeche.gob.mx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Página Oficial de Facebook de la Secretaría de Salud del Estado de Campeche. </w:t>
      </w:r>
      <w:hyperlink r:id="rId2">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https://m.facebook.com/Salud-Campeche-757144667753770/?tsid=0.18456572481240707&amp;source=result</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Eje Central. </w:t>
      </w:r>
      <w:hyperlink r:id="rId3">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https://www.ejecentral.com.mx/gamma-la-variante-que-mas-crece-en-mexico/#.YN34OofDX_g.whatsapp</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Variantes de preocupación (VOC por su acrónimo en inglés) de SARS-CoV-2.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-451484</wp:posOffset>
              </wp:positionH>
              <wp:positionV relativeFrom="paragraph">
                <wp:posOffset>87630</wp:posOffset>
              </wp:positionV>
              <wp:extent cx="5814060" cy="1268730"/>
              <wp:effectExtent b="7620" l="0" r="0" t="0"/>
              <wp:wrapNone/>
              <wp:docPr id="2" name=""/>
              <a:graphic>
                <a:graphicData uri="http://schemas.microsoft.com/office/word/2010/wordprocessingGroup">
                  <wpg:wgp>
                    <wpg:cNvGrpSpPr>
                      <a:grpSpLocks/>
                    </wpg:cNvGrpSpPr>
                    <wpg:grpSpPr bwMode="auto">
                      <a:xfrm>
                        <a:off x="0" y="0"/>
                        <a:ext cx="5814060" cy="1268730"/>
                        <a:chOff x="659" y="863"/>
                        <a:chExt cx="9156" cy="1998"/>
                      </a:xfrm>
                    </wpg:grpSpPr>
                    <pic:pic>
                      <pic:nvPicPr>
                        <pic:cNvPr descr="Sin título" id="17" name="Picture 27"/>
                        <pic:cNvPicPr>
                          <a:picLocks noChangeAspect="1" noChangeArrowheads="1"/>
                        </pic:cNvPicPr>
                      </pic:nvPicPr>
                      <pic:blipFill>
                        <a:blip r:embed="rId1">
                          <a:extLst>
                            <a:ext uri="{28A0092B-C50C-407E-A947-70E740481C1C}"/>
                          </a:extLst>
                        </a:blip>
                        <a:srcRect r="86688"/>
                        <a:stretch>
                          <a:fillRect/>
                        </a:stretch>
                      </pic:blipFill>
                      <pic:spPr bwMode="auto">
                        <a:xfrm>
                          <a:off x="801" y="863"/>
                          <a:ext cx="1282" cy="1998"/>
                        </a:xfrm>
                        <a:prstGeom prst="rect">
                          <a:avLst/>
                        </a:prstGeom>
                        <a:noFill/>
                        <a:ln>
                          <a:noFill/>
                        </a:ln>
                        <a:extLst>
                          <a:ext uri="{909E8E84-426E-40DD-AFC4-6F175D3DCCD1}"/>
                          <a:ext uri="{91240B29-F687-4F45-9708-019B960494DF}"/>
                        </a:extLst>
                      </pic:spPr>
                    </pic:pic>
                    <pic:pic>
                      <pic:nvPicPr>
                        <pic:cNvPr descr="Sin título" id="18" name="Picture 28"/>
                        <pic:cNvPicPr>
                          <a:picLocks noChangeAspect="1" noChangeArrowheads="1"/>
                        </pic:cNvPicPr>
                      </pic:nvPicPr>
                      <pic:blipFill>
                        <a:blip r:embed="rId1">
                          <a:extLst>
                            <a:ext uri="{28A0092B-C50C-407E-A947-70E740481C1C}"/>
                          </a:extLst>
                        </a:blip>
                        <a:srcRect b="5356" l="79927" r="1599" t="5856"/>
                        <a:stretch>
                          <a:fillRect/>
                        </a:stretch>
                      </pic:blipFill>
                      <pic:spPr bwMode="auto">
                        <a:xfrm>
                          <a:off x="7850" y="863"/>
                          <a:ext cx="1779" cy="1774"/>
                        </a:xfrm>
                        <a:prstGeom prst="rect">
                          <a:avLst/>
                        </a:prstGeom>
                        <a:noFill/>
                        <a:ln>
                          <a:noFill/>
                        </a:ln>
                        <a:extLst>
                          <a:ext uri="{909E8E84-426E-40DD-AFC4-6F175D3DCCD1}"/>
                          <a:ext uri="{91240B29-F687-4F45-9708-019B960494DF}"/>
                        </a:extLst>
                      </pic:spPr>
                    </pic:pic>
                    <wps:wsp>
                      <wps:cNvSpPr txBox="1">
                        <a:spLocks noChangeArrowheads="1"/>
                      </wps:cNvSpPr>
                      <wps:cNvPr id="19" name="Text Box 29"/>
                      <wps:spPr bwMode="auto">
                        <a:xfrm>
                          <a:off x="659" y="1233"/>
                          <a:ext cx="9156" cy="1587"/>
                        </a:xfrm>
                        <a:prstGeom prst="rect">
                          <a:avLst/>
                        </a:prstGeom>
                        <a:noFill/>
                        <a:ln>
                          <a:noFill/>
                        </a:ln>
                        <a:extLst>
                          <a:ext uri="{909E8E84-426E-40DD-AFC4-6F175D3DCCD1}"/>
                          <a:ext uri="{91240B29-F687-4F45-9708-019B960494DF}"/>
                        </a:extLst>
                      </wps:spPr>
                      <wps:txbx>
                        <w:txbxContent>
                          <w:p w:rsidR="004615A6" w:rsidDel="00000000" w:rsidP="004615A6" w:rsidRDefault="004615A6" w:rsidRPr="00000000">
                            <w:pPr>
                              <w:jc w:val="center"/>
                              <w:rPr>
                                <w:rFonts w:ascii="Arial" w:cs="Arial" w:hAnsi="Arial"/>
                                <w:i w:val="1"/>
                                <w:sz w:val="17"/>
                                <w:szCs w:val="17"/>
                                <w:lang w:val="es-MX"/>
                              </w:rPr>
                            </w:pPr>
                          </w:p>
                          <w:p w:rsidR="004615A6" w:rsidDel="00000000" w:rsidP="004615A6" w:rsidRDefault="004615A6" w:rsidRPr="00000000">
                            <w:pPr>
                              <w:jc w:val="center"/>
                              <w:rPr>
                                <w:rFonts w:ascii="Arial" w:cs="Arial" w:hAnsi="Arial"/>
                                <w:i w:val="1"/>
                                <w:sz w:val="17"/>
                                <w:szCs w:val="17"/>
                                <w:lang w:val="es-MX"/>
                              </w:rPr>
                            </w:pPr>
                            <w:r w:rsidDel="00000000" w:rsidR="00000000" w:rsidRPr="00EC1343">
                              <w:rPr>
                                <w:rFonts w:ascii="Arial" w:cs="Arial" w:hAnsi="Arial"/>
                                <w:i w:val="1"/>
                                <w:sz w:val="17"/>
                                <w:szCs w:val="17"/>
                                <w:lang w:val="es-MX"/>
                              </w:rPr>
                              <w:t>“Garantiz</w:t>
                            </w:r>
                            <w:r w:rsidDel="00000000" w:rsidR="00000000" w:rsidRPr="00000000">
                              <w:rPr>
                                <w:rFonts w:ascii="Arial" w:cs="Arial" w:hAnsi="Arial"/>
                                <w:i w:val="1"/>
                                <w:sz w:val="17"/>
                                <w:szCs w:val="17"/>
                                <w:lang w:val="es-MX"/>
                              </w:rPr>
                              <w:t xml:space="preserve">ar los derechos humanos de la niñez es labor </w:t>
                            </w:r>
                          </w:p>
                          <w:p w:rsidR="004615A6" w:rsidDel="00000000" w:rsidP="004615A6" w:rsidRDefault="004615A6" w:rsidRPr="00EC1343">
                            <w:pPr>
                              <w:jc w:val="center"/>
                              <w:rPr>
                                <w:rFonts w:ascii="Arial" w:cs="Arial" w:hAnsi="Arial"/>
                                <w:sz w:val="17"/>
                                <w:szCs w:val="17"/>
                              </w:rPr>
                            </w:pPr>
                            <w:proofErr w:type="gramStart"/>
                            <w:r w:rsidDel="00000000" w:rsidR="00000000" w:rsidRPr="00000000">
                              <w:rPr>
                                <w:rFonts w:ascii="Arial" w:cs="Arial" w:hAnsi="Arial"/>
                                <w:i w:val="1"/>
                                <w:sz w:val="17"/>
                                <w:szCs w:val="17"/>
                                <w:lang w:val="es-MX"/>
                              </w:rPr>
                              <w:t>fundamental</w:t>
                            </w:r>
                            <w:proofErr w:type="gramEnd"/>
                            <w:r w:rsidDel="00000000" w:rsidR="00000000" w:rsidRPr="00000000">
                              <w:rPr>
                                <w:rFonts w:ascii="Arial" w:cs="Arial" w:hAnsi="Arial"/>
                                <w:i w:val="1"/>
                                <w:sz w:val="17"/>
                                <w:szCs w:val="17"/>
                                <w:lang w:val="es-MX"/>
                              </w:rPr>
                              <w:t xml:space="preserve"> de la autoridad jurisdiccional</w:t>
                            </w:r>
                            <w:r w:rsidDel="00000000" w:rsidR="00000000" w:rsidRPr="00EC1343">
                              <w:rPr>
                                <w:rFonts w:ascii="Arial" w:cs="Arial" w:hAnsi="Arial"/>
                                <w:i w:val="1"/>
                                <w:sz w:val="17"/>
                                <w:szCs w:val="17"/>
                                <w:lang w:val="es-MX"/>
                              </w:rPr>
                              <w:t>”</w:t>
                            </w:r>
                          </w:p>
                          <w:p w:rsidR="004615A6" w:rsidDel="00000000" w:rsidP="004615A6" w:rsidRDefault="004615A6" w:rsidRPr="00115CFC">
                            <w:pPr>
                              <w:jc w:val="center"/>
                              <w:rPr>
                                <w:rFonts w:ascii="Arial" w:cs="Arial" w:hAnsi="Arial"/>
                                <w:b w:val="1"/>
                                <w:sz w:val="2"/>
                                <w:szCs w:val="18"/>
                              </w:rPr>
                            </w:pPr>
                          </w:p>
                          <w:p w:rsidR="004615A6" w:rsidDel="00000000" w:rsidP="004615A6" w:rsidRDefault="004615A6" w:rsidRPr="00000000">
                            <w:pPr>
                              <w:ind w:left="1418" w:right="1777"/>
                              <w:jc w:val="center"/>
                              <w:rPr>
                                <w:rFonts w:ascii="Arial" w:cs="Arial" w:hAnsi="Arial"/>
                                <w:b w:val="1"/>
                                <w:szCs w:val="18"/>
                              </w:rPr>
                            </w:pPr>
                            <w:r w:rsidDel="00000000" w:rsidR="00000000" w:rsidRPr="002E4CA4">
                              <w:rPr>
                                <w:rFonts w:ascii="Arial" w:cs="Arial" w:hAnsi="Arial"/>
                                <w:b w:val="1"/>
                                <w:szCs w:val="18"/>
                              </w:rPr>
                              <w:t>CONSEJO DE LA JUDICATURA LOCAL</w:t>
                            </w:r>
                          </w:p>
                          <w:p w:rsidR="004615A6" w:rsidDel="00000000" w:rsidP="004615A6" w:rsidRDefault="004615A6" w:rsidRPr="002E4CA4">
                            <w:pPr>
                              <w:ind w:right="612"/>
                              <w:jc w:val="center"/>
                              <w:rPr>
                                <w:rFonts w:ascii="Arial" w:cs="Arial" w:hAnsi="Arial"/>
                                <w:b w:val="1"/>
                                <w:szCs w:val="18"/>
                              </w:rPr>
                            </w:pPr>
                            <w:r w:rsidDel="00000000" w:rsidR="00000000" w:rsidRPr="00000000">
                              <w:rPr>
                                <w:rFonts w:ascii="Arial" w:cs="Arial" w:hAnsi="Arial"/>
                                <w:b w:val="1"/>
                                <w:szCs w:val="18"/>
                              </w:rPr>
                              <w:t>Secretaría Ejecutiva</w:t>
                            </w:r>
                          </w:p>
                          <w:p w:rsidR="004615A6" w:rsidDel="00000000" w:rsidP="004615A6" w:rsidRDefault="004615A6" w:rsidRPr="00000000">
                            <w:pPr>
                              <w:jc w:val="center"/>
                            </w:pPr>
                          </w:p>
                        </w:txbxContent>
                      </wps:txbx>
                      <wps:bodyPr anchorCtr="0" anchor="t" bIns="45720" lIns="91440" rIns="91440" rot="0" upright="1" vert="horz" wrap="square" tIns="45720">
                        <a:sp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-451484</wp:posOffset>
              </wp:positionH>
              <wp:positionV relativeFrom="paragraph">
                <wp:posOffset>87630</wp:posOffset>
              </wp:positionV>
              <wp:extent cx="5814060" cy="1276350"/>
              <wp:effectExtent b="0" l="0" r="0" t="0"/>
              <wp:wrapNone/>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814060" cy="1276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5244465</wp:posOffset>
          </wp:positionH>
          <wp:positionV relativeFrom="paragraph">
            <wp:posOffset>141605</wp:posOffset>
          </wp:positionV>
          <wp:extent cx="1130300" cy="1071880"/>
          <wp:effectExtent b="0" l="0" r="0" t="0"/>
          <wp:wrapNone/>
          <wp:docPr id="7"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1130300" cy="1071880"/>
                  </a:xfrm>
                  <a:prstGeom prst="rect"/>
                  <a:ln/>
                </pic:spPr>
              </pic:pic>
            </a:graphicData>
          </a:graphic>
        </wp:anchor>
      </w:drawing>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ind w:left="284" w:firstLine="0"/>
      <w:jc w:val="both"/>
      <w:rPr>
        <w:rFonts w:ascii="Arial" w:cs="Arial" w:eastAsia="Arial" w:hAnsi="Arial"/>
        <w:b w:val="1"/>
        <w:i w:val="1"/>
        <w:color w:val="000000"/>
        <w:sz w:val="18"/>
        <w:szCs w:val="18"/>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99695</wp:posOffset>
              </wp:positionV>
              <wp:extent cx="3086100" cy="228600"/>
              <wp:effectExtent b="0" l="0" r="0" t="0"/>
              <wp:wrapSquare wrapText="bothSides" distB="0" distT="0" distL="114300" distR="114300"/>
              <wp:docPr id="4" name=""/>
              <a:graphic>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4615A6" w:rsidDel="00000000" w:rsidP="00196AB9" w:rsidRDefault="004615A6" w:rsidRPr="009724A9">
                          <w:pPr>
                            <w:jc w:val="center"/>
                            <w:rPr>
                              <w:rFonts w:ascii="Calibri" w:hAnsi="Calibri"/>
                              <w:color w:val="58646b"/>
                              <w:sz w:val="16"/>
                              <w:szCs w:val="16"/>
                            </w:rPr>
                          </w:pPr>
                        </w:p>
                        <w:p w:rsidR="004615A6" w:rsidDel="00000000" w:rsidP="00163672" w:rsidRDefault="004615A6" w:rsidRPr="009724A9">
                          <w:pPr>
                            <w:jc w:val="right"/>
                            <w:rPr>
                              <w:rFonts w:ascii="Calibri" w:hAnsi="Calibri"/>
                              <w:color w:val="58646b"/>
                              <w:sz w:val="20"/>
                              <w:szCs w:val="20"/>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99695</wp:posOffset>
              </wp:positionV>
              <wp:extent cx="3086100" cy="228600"/>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3086100" cy="2286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4436745</wp:posOffset>
          </wp:positionH>
          <wp:positionV relativeFrom="paragraph">
            <wp:posOffset>99060</wp:posOffset>
          </wp:positionV>
          <wp:extent cx="1017270" cy="959485"/>
          <wp:effectExtent b="0" l="0" r="0" t="0"/>
          <wp:wrapNone/>
          <wp:docPr descr="Sin título" id="5" name="image6.png"/>
          <a:graphic>
            <a:graphicData uri="http://schemas.openxmlformats.org/drawingml/2006/picture">
              <pic:pic>
                <pic:nvPicPr>
                  <pic:cNvPr descr="Sin título" id="0" name="image6.png"/>
                  <pic:cNvPicPr preferRelativeResize="0"/>
                </pic:nvPicPr>
                <pic:blipFill>
                  <a:blip r:embed="rId2"/>
                  <a:srcRect b="0" l="79106" r="0" t="0"/>
                  <a:stretch>
                    <a:fillRect/>
                  </a:stretch>
                </pic:blipFill>
                <pic:spPr>
                  <a:xfrm>
                    <a:off x="0" y="0"/>
                    <a:ext cx="1017270" cy="95948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-54609</wp:posOffset>
              </wp:positionH>
              <wp:positionV relativeFrom="paragraph">
                <wp:posOffset>254000</wp:posOffset>
              </wp:positionV>
              <wp:extent cx="5251450" cy="939800"/>
              <wp:effectExtent b="635" l="0" r="0" t="2540"/>
              <wp:wrapNone/>
              <wp:docPr id="3" name=""/>
              <a:graphic>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ext uri="{91240B29-F687-4F45-9708-019B960494DF}"/>
                      </a:extLst>
                    </wps:spPr>
                    <wps:txbx>
                      <w:txbxContent>
                        <w:p w:rsidR="0013081B" w:rsidDel="00000000" w:rsidP="0013081B" w:rsidRDefault="0013081B" w:rsidRPr="006A727A">
                          <w:pPr>
                            <w:ind w:left="993" w:right="183"/>
                            <w:jc w:val="both"/>
                            <w:rPr>
                              <w:rFonts w:ascii="Arial" w:cs="Arial" w:hAnsi="Arial"/>
                              <w:i w:val="1"/>
                              <w:sz w:val="32"/>
                              <w:lang w:val="es-MX"/>
                            </w:rPr>
                          </w:pPr>
                          <w:r w:rsidDel="00000000" w:rsidR="00000000" w:rsidRPr="006A727A">
                            <w:rPr>
                              <w:rFonts w:ascii="Arial" w:cs="Arial" w:hAnsi="Arial"/>
                              <w:i w:val="1"/>
                              <w:sz w:val="32"/>
                              <w:lang w:val="es-MX"/>
                            </w:rPr>
                            <w:t xml:space="preserve">                     </w:t>
                          </w:r>
                        </w:p>
                        <w:p w:rsidR="0013081B" w:rsidDel="00000000" w:rsidP="0013081B" w:rsidRDefault="0013081B" w:rsidRPr="00000000">
                          <w:pPr>
                            <w:ind w:left="993" w:right="1034"/>
                            <w:jc w:val="center"/>
                            <w:rPr>
                              <w:rFonts w:ascii="Arial" w:cs="Arial" w:hAnsi="Arial"/>
                              <w:i w:val="1"/>
                              <w:sz w:val="18"/>
                              <w:szCs w:val="18"/>
                              <w:lang w:val="es-MX"/>
                            </w:rPr>
                          </w:pPr>
                          <w:r w:rsidDel="00000000" w:rsidR="00000000" w:rsidRPr="00000000">
                            <w:rPr>
                              <w:rFonts w:ascii="Arial" w:cs="Arial" w:hAnsi="Arial"/>
                              <w:i w:val="1"/>
                              <w:sz w:val="18"/>
                              <w:szCs w:val="18"/>
                              <w:lang w:val="es-MX"/>
                            </w:rPr>
                            <w:t xml:space="preserve">“Garantizar los derechos humanos de la niñez es labor </w:t>
                          </w:r>
                        </w:p>
                        <w:p w:rsidR="0013081B" w:rsidDel="00000000" w:rsidP="0013081B" w:rsidRDefault="0013081B" w:rsidRPr="00000000">
                          <w:pPr>
                            <w:ind w:left="993" w:right="1034"/>
                            <w:jc w:val="center"/>
                            <w:rPr>
                              <w:rFonts w:ascii="Arial" w:cs="Arial" w:hAnsi="Arial"/>
                              <w:i w:val="1"/>
                              <w:sz w:val="18"/>
                              <w:szCs w:val="18"/>
                              <w:lang w:val="es-MX"/>
                            </w:rPr>
                          </w:pPr>
                          <w:proofErr w:type="gramStart"/>
                          <w:r w:rsidDel="00000000" w:rsidR="00000000" w:rsidRPr="00000000">
                            <w:rPr>
                              <w:rFonts w:ascii="Arial" w:cs="Arial" w:hAnsi="Arial"/>
                              <w:i w:val="1"/>
                              <w:sz w:val="18"/>
                              <w:szCs w:val="18"/>
                              <w:lang w:val="es-MX"/>
                            </w:rPr>
                            <w:t>fundamental</w:t>
                          </w:r>
                          <w:proofErr w:type="gramEnd"/>
                          <w:r w:rsidDel="00000000" w:rsidR="00000000" w:rsidRPr="00000000">
                            <w:rPr>
                              <w:rFonts w:ascii="Arial" w:cs="Arial" w:hAnsi="Arial"/>
                              <w:i w:val="1"/>
                              <w:sz w:val="18"/>
                              <w:szCs w:val="18"/>
                              <w:lang w:val="es-MX"/>
                            </w:rPr>
                            <w:t xml:space="preserve"> de la autoridad jurisdiccional</w:t>
                          </w:r>
                          <w:r w:rsidDel="00000000" w:rsidR="00000000" w:rsidRPr="00E67BEB">
                            <w:rPr>
                              <w:rFonts w:ascii="Arial" w:cs="Arial" w:hAnsi="Arial"/>
                              <w:i w:val="1"/>
                              <w:sz w:val="18"/>
                              <w:szCs w:val="18"/>
                              <w:lang w:val="es-MX"/>
                            </w:rPr>
                            <w:t>”</w:t>
                          </w:r>
                        </w:p>
                        <w:p w:rsidR="0013081B" w:rsidDel="00000000" w:rsidP="0013081B" w:rsidRDefault="0013081B" w:rsidRPr="00000000">
                          <w:pPr>
                            <w:ind w:left="1418" w:right="1777"/>
                            <w:jc w:val="center"/>
                            <w:rPr>
                              <w:rFonts w:ascii="Arial" w:cs="Arial" w:hAnsi="Arial"/>
                              <w:b w:val="1"/>
                              <w:szCs w:val="18"/>
                            </w:rPr>
                          </w:pPr>
                          <w:r w:rsidDel="00000000" w:rsidR="00000000" w:rsidRPr="002E4CA4">
                            <w:rPr>
                              <w:rFonts w:ascii="Arial" w:cs="Arial" w:hAnsi="Arial"/>
                              <w:b w:val="1"/>
                              <w:szCs w:val="18"/>
                            </w:rPr>
                            <w:t>CONSEJO DE LA JUDICATURA LOCAL</w:t>
                          </w:r>
                        </w:p>
                        <w:p w:rsidR="0013081B" w:rsidDel="00000000" w:rsidP="0013081B" w:rsidRDefault="0013081B" w:rsidRPr="002E4CA4">
                          <w:pPr>
                            <w:ind w:right="612"/>
                            <w:jc w:val="center"/>
                            <w:rPr>
                              <w:rFonts w:ascii="Arial" w:cs="Arial" w:hAnsi="Arial"/>
                              <w:b w:val="1"/>
                              <w:szCs w:val="18"/>
                            </w:rPr>
                          </w:pPr>
                          <w:r w:rsidDel="00000000" w:rsidR="00000000" w:rsidRPr="00000000">
                            <w:rPr>
                              <w:rFonts w:ascii="Arial" w:cs="Arial" w:hAnsi="Arial"/>
                              <w:b w:val="1"/>
                              <w:szCs w:val="18"/>
                            </w:rPr>
                            <w:t>Secretaría Ejecutiva</w:t>
                          </w:r>
                        </w:p>
                        <w:p w:rsidR="0013081B" w:rsidDel="00000000" w:rsidP="0013081B" w:rsidRDefault="0013081B" w:rsidRPr="00E67BEB">
                          <w:pPr>
                            <w:ind w:left="993" w:right="1034"/>
                            <w:jc w:val="center"/>
                            <w:rPr>
                              <w:i w:val="1"/>
                              <w:sz w:val="18"/>
                              <w:szCs w:val="18"/>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wp:posOffset>
              </wp:positionH>
              <wp:positionV relativeFrom="paragraph">
                <wp:posOffset>254000</wp:posOffset>
              </wp:positionV>
              <wp:extent cx="5251450" cy="942975"/>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251450" cy="9429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51435</wp:posOffset>
          </wp:positionV>
          <wp:extent cx="714375" cy="953770"/>
          <wp:effectExtent b="0" l="0" r="0" t="0"/>
          <wp:wrapNone/>
          <wp:docPr descr="Sin título" id="11" name="image6.png"/>
          <a:graphic>
            <a:graphicData uri="http://schemas.openxmlformats.org/drawingml/2006/picture">
              <pic:pic>
                <pic:nvPicPr>
                  <pic:cNvPr descr="Sin título" id="0" name="image6.png"/>
                  <pic:cNvPicPr preferRelativeResize="0"/>
                </pic:nvPicPr>
                <pic:blipFill>
                  <a:blip r:embed="rId2"/>
                  <a:srcRect b="9809" l="0" r="86688" t="0"/>
                  <a:stretch>
                    <a:fillRect/>
                  </a:stretch>
                </pic:blipFill>
                <pic:spPr>
                  <a:xfrm>
                    <a:off x="0" y="0"/>
                    <a:ext cx="714375" cy="953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5377815</wp:posOffset>
          </wp:positionH>
          <wp:positionV relativeFrom="paragraph">
            <wp:posOffset>186055</wp:posOffset>
          </wp:positionV>
          <wp:extent cx="836930" cy="792480"/>
          <wp:effectExtent b="0" l="0" r="0" t="0"/>
          <wp:wrapNone/>
          <wp:docPr id="9"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836930" cy="792480"/>
                  </a:xfrm>
                  <a:prstGeom prst="rect"/>
                  <a:ln/>
                </pic:spPr>
              </pic:pic>
            </a:graphicData>
          </a:graphic>
        </wp:anchor>
      </w:drawing>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4436745</wp:posOffset>
          </wp:positionH>
          <wp:positionV relativeFrom="paragraph">
            <wp:posOffset>99060</wp:posOffset>
          </wp:positionV>
          <wp:extent cx="1017270" cy="959485"/>
          <wp:effectExtent b="0" l="0" r="0" t="0"/>
          <wp:wrapNone/>
          <wp:docPr descr="Sin título" id="8" name="image6.png"/>
          <a:graphic>
            <a:graphicData uri="http://schemas.openxmlformats.org/drawingml/2006/picture">
              <pic:pic>
                <pic:nvPicPr>
                  <pic:cNvPr descr="Sin título" id="0" name="image6.png"/>
                  <pic:cNvPicPr preferRelativeResize="0"/>
                </pic:nvPicPr>
                <pic:blipFill>
                  <a:blip r:embed="rId2"/>
                  <a:srcRect b="0" l="79106" r="0" t="0"/>
                  <a:stretch>
                    <a:fillRect/>
                  </a:stretch>
                </pic:blipFill>
                <pic:spPr>
                  <a:xfrm>
                    <a:off x="0" y="0"/>
                    <a:ext cx="1017270" cy="95948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-54609</wp:posOffset>
              </wp:positionH>
              <wp:positionV relativeFrom="paragraph">
                <wp:posOffset>254000</wp:posOffset>
              </wp:positionV>
              <wp:extent cx="5251450" cy="939800"/>
              <wp:effectExtent b="635" l="0" r="0" t="2540"/>
              <wp:wrapNone/>
              <wp:docPr id="1" name=""/>
              <a:graphic>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ext uri="{91240B29-F687-4F45-9708-019B960494DF}"/>
                      </a:extLst>
                    </wps:spPr>
                    <wps:txbx>
                      <w:txbxContent>
                        <w:p w:rsidR="00373714" w:rsidDel="00000000" w:rsidP="00373714" w:rsidRDefault="00373714" w:rsidRPr="006A727A">
                          <w:pPr>
                            <w:ind w:left="993" w:right="183"/>
                            <w:jc w:val="both"/>
                            <w:rPr>
                              <w:rFonts w:ascii="Arial" w:cs="Arial" w:hAnsi="Arial"/>
                              <w:i w:val="1"/>
                              <w:sz w:val="32"/>
                              <w:lang w:val="es-MX"/>
                            </w:rPr>
                          </w:pPr>
                          <w:r w:rsidDel="00000000" w:rsidR="00000000" w:rsidRPr="006A727A">
                            <w:rPr>
                              <w:rFonts w:ascii="Arial" w:cs="Arial" w:hAnsi="Arial"/>
                              <w:i w:val="1"/>
                              <w:sz w:val="32"/>
                              <w:lang w:val="es-MX"/>
                            </w:rPr>
                            <w:t xml:space="preserve">                     </w:t>
                          </w:r>
                        </w:p>
                        <w:p w:rsidR="00373714" w:rsidDel="00000000" w:rsidP="00373714" w:rsidRDefault="00373714" w:rsidRPr="00000000">
                          <w:pPr>
                            <w:ind w:left="993" w:right="1034"/>
                            <w:jc w:val="center"/>
                            <w:rPr>
                              <w:rFonts w:ascii="Arial" w:cs="Arial" w:hAnsi="Arial"/>
                              <w:i w:val="1"/>
                              <w:sz w:val="18"/>
                              <w:szCs w:val="18"/>
                              <w:lang w:val="es-MX"/>
                            </w:rPr>
                          </w:pPr>
                          <w:r w:rsidDel="00000000" w:rsidR="00000000" w:rsidRPr="00000000">
                            <w:rPr>
                              <w:rFonts w:ascii="Arial" w:cs="Arial" w:hAnsi="Arial"/>
                              <w:i w:val="1"/>
                              <w:sz w:val="18"/>
                              <w:szCs w:val="18"/>
                              <w:lang w:val="es-MX"/>
                            </w:rPr>
                            <w:t xml:space="preserve">“Garantizar los derechos humanos de la niñez es labor </w:t>
                          </w:r>
                        </w:p>
                        <w:p w:rsidR="00373714" w:rsidDel="00000000" w:rsidP="00373714" w:rsidRDefault="00373714" w:rsidRPr="00000000">
                          <w:pPr>
                            <w:ind w:left="993" w:right="1034"/>
                            <w:jc w:val="center"/>
                            <w:rPr>
                              <w:rFonts w:ascii="Arial" w:cs="Arial" w:hAnsi="Arial"/>
                              <w:i w:val="1"/>
                              <w:sz w:val="18"/>
                              <w:szCs w:val="18"/>
                              <w:lang w:val="es-MX"/>
                            </w:rPr>
                          </w:pPr>
                          <w:proofErr w:type="gramStart"/>
                          <w:r w:rsidDel="00000000" w:rsidR="00000000" w:rsidRPr="00000000">
                            <w:rPr>
                              <w:rFonts w:ascii="Arial" w:cs="Arial" w:hAnsi="Arial"/>
                              <w:i w:val="1"/>
                              <w:sz w:val="18"/>
                              <w:szCs w:val="18"/>
                              <w:lang w:val="es-MX"/>
                            </w:rPr>
                            <w:t>fundamental</w:t>
                          </w:r>
                          <w:proofErr w:type="gramEnd"/>
                          <w:r w:rsidDel="00000000" w:rsidR="00000000" w:rsidRPr="00000000">
                            <w:rPr>
                              <w:rFonts w:ascii="Arial" w:cs="Arial" w:hAnsi="Arial"/>
                              <w:i w:val="1"/>
                              <w:sz w:val="18"/>
                              <w:szCs w:val="18"/>
                              <w:lang w:val="es-MX"/>
                            </w:rPr>
                            <w:t xml:space="preserve"> de la autoridad jurisdiccional</w:t>
                          </w:r>
                          <w:r w:rsidDel="00000000" w:rsidR="00000000" w:rsidRPr="00E67BEB">
                            <w:rPr>
                              <w:rFonts w:ascii="Arial" w:cs="Arial" w:hAnsi="Arial"/>
                              <w:i w:val="1"/>
                              <w:sz w:val="18"/>
                              <w:szCs w:val="18"/>
                              <w:lang w:val="es-MX"/>
                            </w:rPr>
                            <w:t>”</w:t>
                          </w:r>
                        </w:p>
                        <w:p w:rsidR="00373714" w:rsidDel="00000000" w:rsidP="00373714" w:rsidRDefault="00373714" w:rsidRPr="00000000">
                          <w:pPr>
                            <w:ind w:left="1418" w:right="1777"/>
                            <w:jc w:val="center"/>
                            <w:rPr>
                              <w:rFonts w:ascii="Arial" w:cs="Arial" w:hAnsi="Arial"/>
                              <w:b w:val="1"/>
                              <w:szCs w:val="18"/>
                            </w:rPr>
                          </w:pPr>
                          <w:r w:rsidDel="00000000" w:rsidR="00000000" w:rsidRPr="002E4CA4">
                            <w:rPr>
                              <w:rFonts w:ascii="Arial" w:cs="Arial" w:hAnsi="Arial"/>
                              <w:b w:val="1"/>
                              <w:szCs w:val="18"/>
                            </w:rPr>
                            <w:t>CONSEJO DE LA JUDICATURA LOCAL</w:t>
                          </w:r>
                        </w:p>
                        <w:p w:rsidR="00373714" w:rsidDel="00000000" w:rsidP="00373714" w:rsidRDefault="00373714" w:rsidRPr="002E4CA4">
                          <w:pPr>
                            <w:ind w:right="612"/>
                            <w:jc w:val="center"/>
                            <w:rPr>
                              <w:rFonts w:ascii="Arial" w:cs="Arial" w:hAnsi="Arial"/>
                              <w:b w:val="1"/>
                              <w:szCs w:val="18"/>
                            </w:rPr>
                          </w:pPr>
                          <w:r w:rsidDel="00000000" w:rsidR="00000000" w:rsidRPr="00000000">
                            <w:rPr>
                              <w:rFonts w:ascii="Arial" w:cs="Arial" w:hAnsi="Arial"/>
                              <w:b w:val="1"/>
                              <w:szCs w:val="18"/>
                            </w:rPr>
                            <w:t>Secretaría Ejecutiva</w:t>
                          </w:r>
                        </w:p>
                        <w:p w:rsidR="00373714" w:rsidDel="00000000" w:rsidP="00373714" w:rsidRDefault="00373714" w:rsidRPr="00E67BEB">
                          <w:pPr>
                            <w:ind w:left="993" w:right="1034"/>
                            <w:jc w:val="center"/>
                            <w:rPr>
                              <w:i w:val="1"/>
                              <w:sz w:val="18"/>
                              <w:szCs w:val="18"/>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wp:posOffset>
              </wp:positionH>
              <wp:positionV relativeFrom="paragraph">
                <wp:posOffset>254000</wp:posOffset>
              </wp:positionV>
              <wp:extent cx="5251450" cy="942975"/>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251450" cy="9429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51435</wp:posOffset>
          </wp:positionV>
          <wp:extent cx="714375" cy="953770"/>
          <wp:effectExtent b="0" l="0" r="0" t="0"/>
          <wp:wrapNone/>
          <wp:docPr descr="Sin título" id="10" name="image6.png"/>
          <a:graphic>
            <a:graphicData uri="http://schemas.openxmlformats.org/drawingml/2006/picture">
              <pic:pic>
                <pic:nvPicPr>
                  <pic:cNvPr descr="Sin título" id="0" name="image6.png"/>
                  <pic:cNvPicPr preferRelativeResize="0"/>
                </pic:nvPicPr>
                <pic:blipFill>
                  <a:blip r:embed="rId2"/>
                  <a:srcRect b="9809" l="0" r="86688" t="0"/>
                  <a:stretch>
                    <a:fillRect/>
                  </a:stretch>
                </pic:blipFill>
                <pic:spPr>
                  <a:xfrm>
                    <a:off x="0" y="0"/>
                    <a:ext cx="714375" cy="953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5377815</wp:posOffset>
          </wp:positionH>
          <wp:positionV relativeFrom="paragraph">
            <wp:posOffset>186055</wp:posOffset>
          </wp:positionV>
          <wp:extent cx="836930" cy="792480"/>
          <wp:effectExtent b="0" l="0" r="0" t="0"/>
          <wp:wrapNone/>
          <wp:docPr id="6"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836930" cy="792480"/>
                  </a:xfrm>
                  <a:prstGeom prst="rect"/>
                  <a:ln/>
                </pic:spPr>
              </pic:pic>
            </a:graphicData>
          </a:graphic>
        </wp:anchor>
      </w:drawing>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261"/>
      <w:jc w:val="both"/>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facebook.com/Salud-Campeche-757144667753770/?tsid=0.18456572481240707&amp;source=result" TargetMode="External"/><Relationship Id="rId3" Type="http://schemas.openxmlformats.org/officeDocument/2006/relationships/hyperlink" Target="https://www.ejecentral.com.mx/gamma-la-variante-que-mas-crece-en-mexico/#.YN34OofDX_g.whats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3" Type="http://schemas.openxmlformats.org/officeDocument/2006/relationships/image" Target="media/image5.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